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jc w:val="left"/>
        <w:spacing w:before="0"/>
        <w:shd w:val="clear" w:color="auto" w:fill="auto"/>
        <w:rPr>
          <w:b/>
        </w:rPr>
      </w:pPr>
      <w:r>
        <w:rPr>
          <w:b/>
          <w:i/>
          <w:iCs/>
        </w:rPr>
      </w: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firstLine="0"/>
              <w:spacing w:before="60" w:after="60" w:line="240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/>
                <w:iCs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ОКПД 33.14.11.000.002. Выполнение работ по капитальному ремонту турбогенераторов Райчихинской ГРЭС, пгт Прогресс 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1.2.</w:t>
            </w:r>
            <w:r>
              <w:rPr>
                <w:rFonts w:ascii="Times New Roman" w:hAnsi="Times New Roman" w:cs="Times New Roman"/>
                <w:lang w:bidi="ru-RU"/>
              </w:rPr>
            </w:r>
            <w:r>
              <w:rPr>
                <w:rFonts w:ascii="Times New Roman" w:hAnsi="Times New Roman" w:cs="Times New Roman"/>
                <w:lang w:bidi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Номер лота</w:t>
            </w:r>
            <w:r>
              <w:rPr>
                <w:rFonts w:ascii="Times New Roman" w:hAnsi="Times New Roman" w:cs="Times New Roman"/>
                <w:lang w:bidi="ru-RU"/>
              </w:rPr>
            </w:r>
            <w:r>
              <w:rPr>
                <w:rFonts w:ascii="Times New Roman" w:hAnsi="Times New Roman" w:cs="Times New Roman"/>
                <w:lang w:bidi="ru-RU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11036004-РЕМ ПРОД-2025-ДГК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sz w:val="22"/>
                <w:szCs w:val="22"/>
                <w:lang w:bidi="ru-RU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1.3.</w:t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sz w:val="22"/>
                <w:szCs w:val="22"/>
                <w:lang w:bidi="ru-RU"/>
              </w:rPr>
            </w:pPr>
            <w:r>
              <w:rPr>
                <w:rFonts w:eastAsiaTheme="minorHAnsi"/>
              </w:rPr>
              <w:t xml:space="preserve">НМЦ лота</w:t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lang w:bidi="ru-RU"/>
              </w:rPr>
              <w:t xml:space="preserve">4 585 238,00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r>
            <w:r>
              <w:rPr>
                <w:rFonts w:ascii="Times New Roman" w:hAnsi="Times New Roman" w:cs="Times New Roman"/>
                <w:bCs w:val="0"/>
                <w:i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  <w:lang w:bidi="ru-RU"/>
              </w:rPr>
            </w:r>
          </w:p>
          <w:p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lang w:bidi="ru-RU"/>
              </w:rPr>
            </w:r>
            <w:r>
              <w:rPr>
                <w:rFonts w:ascii="Times New Roman" w:hAnsi="Times New Roman" w:cs="Times New Roman"/>
                <w:lang w:bidi="ru-RU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left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ование расчета НМЦ: прилагаемы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локальн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сметны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расчет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(приложение №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2 к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Техническим требованиям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)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43">
    <w:name w:val="annotation reference"/>
    <w:basedOn w:val="832"/>
    <w:uiPriority w:val="99"/>
    <w:semiHidden/>
    <w:unhideWhenUsed/>
    <w:rPr>
      <w:sz w:val="16"/>
      <w:szCs w:val="16"/>
    </w:rPr>
  </w:style>
  <w:style w:type="paragraph" w:styleId="844">
    <w:name w:val="annotation text"/>
    <w:basedOn w:val="831"/>
    <w:link w:val="84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5" w:customStyle="1">
    <w:name w:val="Текст примечания Знак"/>
    <w:basedOn w:val="832"/>
    <w:link w:val="844"/>
    <w:uiPriority w:val="99"/>
    <w:semiHidden/>
    <w:rPr>
      <w:sz w:val="20"/>
      <w:szCs w:val="20"/>
    </w:rPr>
  </w:style>
  <w:style w:type="paragraph" w:styleId="846">
    <w:name w:val="annotation subject"/>
    <w:basedOn w:val="844"/>
    <w:next w:val="844"/>
    <w:link w:val="847"/>
    <w:uiPriority w:val="99"/>
    <w:semiHidden/>
    <w:unhideWhenUsed/>
    <w:rPr>
      <w:b/>
      <w:bCs/>
    </w:rPr>
  </w:style>
  <w:style w:type="character" w:styleId="847" w:customStyle="1">
    <w:name w:val="Тема примечания Знак"/>
    <w:basedOn w:val="845"/>
    <w:link w:val="846"/>
    <w:uiPriority w:val="99"/>
    <w:semiHidden/>
    <w:rPr>
      <w:b/>
      <w:bCs/>
      <w:sz w:val="20"/>
      <w:szCs w:val="20"/>
    </w:rPr>
  </w:style>
  <w:style w:type="paragraph" w:styleId="848">
    <w:name w:val="Balloon Text"/>
    <w:basedOn w:val="831"/>
    <w:link w:val="84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9" w:customStyle="1">
    <w:name w:val="Текст выноски Знак"/>
    <w:basedOn w:val="832"/>
    <w:link w:val="84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revision>46</cp:revision>
  <dcterms:created xsi:type="dcterms:W3CDTF">2021-07-07T07:07:00Z</dcterms:created>
  <dcterms:modified xsi:type="dcterms:W3CDTF">2024-09-09T07:15:49Z</dcterms:modified>
</cp:coreProperties>
</file>